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B7DB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7DB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A57FA" w:rsidRPr="003B7DBA" w:rsidRDefault="005F40BE" w:rsidP="00AA5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AA57FA" w:rsidRPr="003B7DBA">
        <w:rPr>
          <w:rFonts w:ascii="Times New Roman" w:hAnsi="Times New Roman"/>
          <w:sz w:val="24"/>
          <w:szCs w:val="24"/>
        </w:rPr>
        <w:t xml:space="preserve">строителей </w:t>
      </w:r>
    </w:p>
    <w:p w:rsidR="005F40BE" w:rsidRPr="003B7DBA" w:rsidRDefault="00AA57FA" w:rsidP="00AA57F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«Строители железнодорожных комплексов</w:t>
      </w:r>
      <w:r w:rsidR="005F40BE" w:rsidRPr="003B7DBA">
        <w:rPr>
          <w:rFonts w:ascii="Times New Roman" w:hAnsi="Times New Roman"/>
          <w:bCs/>
          <w:sz w:val="24"/>
          <w:szCs w:val="24"/>
        </w:rPr>
        <w:t>»</w:t>
      </w:r>
    </w:p>
    <w:p w:rsidR="005F40BE" w:rsidRPr="003B7DBA" w:rsidRDefault="005F40BE" w:rsidP="005F40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B7DBA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B7DBA">
        <w:rPr>
          <w:rFonts w:ascii="Times New Roman" w:hAnsi="Times New Roman"/>
          <w:sz w:val="24"/>
          <w:szCs w:val="24"/>
        </w:rPr>
        <w:t>/</w:t>
      </w:r>
      <w:proofErr w:type="spellStart"/>
      <w:r w:rsidRPr="003B7DBA">
        <w:rPr>
          <w:rFonts w:ascii="Times New Roman" w:hAnsi="Times New Roman"/>
          <w:sz w:val="24"/>
          <w:szCs w:val="24"/>
        </w:rPr>
        <w:t>н</w:t>
      </w:r>
      <w:proofErr w:type="spellEnd"/>
      <w:r w:rsidRPr="003B7DBA">
        <w:rPr>
          <w:rFonts w:ascii="Times New Roman" w:hAnsi="Times New Roman"/>
          <w:sz w:val="24"/>
          <w:szCs w:val="24"/>
        </w:rPr>
        <w:t xml:space="preserve"> </w:t>
      </w:r>
      <w:r w:rsidRPr="003B7DBA">
        <w:rPr>
          <w:rFonts w:ascii="Times New Roman" w:hAnsi="Times New Roman"/>
          <w:bCs/>
          <w:sz w:val="24"/>
          <w:szCs w:val="24"/>
        </w:rPr>
        <w:t xml:space="preserve">от </w:t>
      </w:r>
      <w:r w:rsidR="00C53146" w:rsidRPr="003B7DBA">
        <w:rPr>
          <w:rFonts w:ascii="Times New Roman" w:hAnsi="Times New Roman"/>
          <w:bCs/>
          <w:sz w:val="24"/>
          <w:szCs w:val="24"/>
        </w:rPr>
        <w:t>01.10.2018г.</w:t>
      </w:r>
    </w:p>
    <w:p w:rsidR="00EF0114" w:rsidRPr="003B7DBA" w:rsidRDefault="00EF0114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07C3" w:rsidRPr="003B7DBA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3B7DBA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3B7DBA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3B7DBA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3B7DBA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B5063C" w:rsidRPr="003B7DBA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3B7DBA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AA57FA" w:rsidRPr="003B7DBA">
        <w:rPr>
          <w:rFonts w:ascii="Times New Roman" w:hAnsi="Times New Roman" w:cs="Times New Roman"/>
          <w:sz w:val="24"/>
          <w:szCs w:val="24"/>
        </w:rPr>
        <w:t>строителей «Строители железнодорожных комплексов</w:t>
      </w:r>
      <w:r w:rsidRPr="003B7DBA">
        <w:rPr>
          <w:rFonts w:ascii="Times New Roman" w:hAnsi="Times New Roman" w:cs="Times New Roman"/>
          <w:sz w:val="24"/>
          <w:szCs w:val="24"/>
        </w:rPr>
        <w:t>»</w:t>
      </w:r>
    </w:p>
    <w:p w:rsidR="00282A83" w:rsidRPr="003B7DBA" w:rsidRDefault="00282A8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B5063C" w:rsidRPr="003B7DBA" w:rsidRDefault="00B506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DBA">
        <w:rPr>
          <w:rFonts w:ascii="Times New Roman" w:hAnsi="Times New Roman"/>
          <w:sz w:val="24"/>
          <w:szCs w:val="24"/>
        </w:rPr>
        <w:br w:type="page"/>
      </w:r>
    </w:p>
    <w:p w:rsidR="00E00257" w:rsidRPr="003B7DBA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3B7DBA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D4778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7FA" w:rsidRPr="003B7DBA">
        <w:rPr>
          <w:rFonts w:ascii="Times New Roman" w:hAnsi="Times New Roman" w:cs="Times New Roman"/>
          <w:b w:val="0"/>
          <w:sz w:val="24"/>
          <w:szCs w:val="24"/>
        </w:rPr>
        <w:t>строителей «Строители железнодорожных комплексов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AA57FA" w:rsidRPr="003B7DBA">
        <w:rPr>
          <w:rFonts w:ascii="Times New Roman" w:hAnsi="Times New Roman" w:cs="Times New Roman"/>
          <w:b w:val="0"/>
          <w:sz w:val="24"/>
          <w:szCs w:val="24"/>
        </w:rPr>
        <w:t>строителей «Строители железнодорожных комплексов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 строительства, реконструкции, капитального ремонта</w:t>
      </w:r>
      <w:r w:rsidR="00377374" w:rsidRPr="003B7DBA">
        <w:rPr>
          <w:rFonts w:ascii="Times New Roman" w:hAnsi="Times New Roman" w:cs="Times New Roman"/>
          <w:b w:val="0"/>
          <w:sz w:val="24"/>
          <w:szCs w:val="24"/>
        </w:rPr>
        <w:t>, сноса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 (далее – строительство),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3B7DBA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3B7DBA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3B7DBA">
        <w:rPr>
          <w:rFonts w:ascii="Times New Roman" w:hAnsi="Times New Roman"/>
          <w:sz w:val="24"/>
          <w:szCs w:val="24"/>
        </w:rPr>
        <w:t>,</w:t>
      </w:r>
      <w:r w:rsidRPr="003B7DBA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8D6089" w:rsidRPr="003B7DBA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3B7DBA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3B7DBA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3B7DBA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3B7DBA">
        <w:rPr>
          <w:rFonts w:ascii="Times New Roman" w:hAnsi="Times New Roman"/>
          <w:sz w:val="24"/>
          <w:szCs w:val="24"/>
        </w:rPr>
        <w:t xml:space="preserve">года </w:t>
      </w:r>
      <w:r w:rsidRPr="003B7DBA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3B7DBA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3B7DBA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3B7DBA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2</w:t>
      </w:r>
      <w:r w:rsidR="00415A14" w:rsidRPr="003B7DBA">
        <w:rPr>
          <w:rFonts w:ascii="Times New Roman" w:hAnsi="Times New Roman" w:cs="Times New Roman"/>
          <w:sz w:val="24"/>
          <w:szCs w:val="24"/>
        </w:rPr>
        <w:t xml:space="preserve">. </w:t>
      </w:r>
      <w:r w:rsidRPr="003B7DBA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3B7DBA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7FA" w:rsidRPr="003B7DBA">
        <w:rPr>
          <w:rFonts w:ascii="Times New Roman" w:hAnsi="Times New Roman" w:cs="Times New Roman"/>
          <w:b w:val="0"/>
          <w:sz w:val="24"/>
          <w:szCs w:val="24"/>
        </w:rPr>
        <w:t>строителей «Строители железнодорожных комплексов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организацией, основанная на членстве лиц, осуществляющих строительство.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утверждение документов, предусмотренных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>Градостроительным кодексом Российской Федерации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3B7DBA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2.9. </w:t>
      </w:r>
      <w:r w:rsidR="00BB7761" w:rsidRPr="003B7DBA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3B7DBA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2.10.</w:t>
      </w:r>
      <w:r w:rsidR="00BB7761" w:rsidRPr="003B7DBA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3B7DBA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3B7DBA">
        <w:rPr>
          <w:rFonts w:ascii="Times New Roman" w:hAnsi="Times New Roman"/>
          <w:sz w:val="24"/>
          <w:szCs w:val="24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</w:t>
      </w:r>
      <w:r w:rsidR="00B5063C" w:rsidRPr="003B7DBA">
        <w:rPr>
          <w:rFonts w:ascii="Times New Roman" w:hAnsi="Times New Roman"/>
          <w:sz w:val="24"/>
          <w:szCs w:val="24"/>
        </w:rPr>
        <w:t>–</w:t>
      </w:r>
      <w:r w:rsidR="00BB7761" w:rsidRPr="003B7DBA">
        <w:rPr>
          <w:rFonts w:ascii="Times New Roman" w:hAnsi="Times New Roman"/>
          <w:sz w:val="24"/>
          <w:szCs w:val="24"/>
        </w:rPr>
        <w:t xml:space="preserve"> конкурентам</w:t>
      </w:r>
      <w:r w:rsidR="00B5063C" w:rsidRPr="003B7DBA">
        <w:rPr>
          <w:rFonts w:ascii="Times New Roman" w:hAnsi="Times New Roman"/>
          <w:sz w:val="24"/>
          <w:szCs w:val="24"/>
        </w:rPr>
        <w:t>,</w:t>
      </w:r>
      <w:r w:rsidR="00BB7761" w:rsidRPr="003B7DBA">
        <w:rPr>
          <w:rFonts w:ascii="Times New Roman" w:hAnsi="Times New Roman"/>
          <w:sz w:val="24"/>
          <w:szCs w:val="24"/>
        </w:rPr>
        <w:t xml:space="preserve"> либо нанесли или могут нанести вред их деловой репутации.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sz w:val="24"/>
          <w:szCs w:val="24"/>
        </w:rPr>
        <w:t>. Т</w:t>
      </w:r>
      <w:r w:rsidR="00FA6580" w:rsidRPr="003B7DBA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Деятельность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строительство.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Членство субъектов предпринимательской деятельности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строительство.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3B7DBA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атериально-техническую базу для выполнения работ по строительству</w:t>
      </w:r>
      <w:r w:rsidR="00CE08E7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7A5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0C6672" w:rsidRPr="003B7DBA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3B7DBA">
        <w:rPr>
          <w:rFonts w:ascii="Times New Roman" w:hAnsi="Times New Roman"/>
          <w:sz w:val="24"/>
          <w:szCs w:val="24"/>
        </w:rPr>
        <w:t>Ассоциацией</w:t>
      </w:r>
      <w:r w:rsidRPr="003B7DBA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;</w:t>
      </w:r>
    </w:p>
    <w:p w:rsidR="004E0DC0" w:rsidRPr="003B7DBA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3B7DBA">
        <w:rPr>
          <w:rFonts w:ascii="Times New Roman" w:hAnsi="Times New Roman"/>
          <w:sz w:val="24"/>
          <w:szCs w:val="24"/>
        </w:rPr>
        <w:t>Ассоциацию</w:t>
      </w:r>
      <w:r w:rsidRPr="003B7DBA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Pr="003B7DBA">
        <w:rPr>
          <w:rFonts w:ascii="Times New Roman" w:hAnsi="Times New Roman"/>
          <w:sz w:val="24"/>
          <w:szCs w:val="24"/>
        </w:rPr>
        <w:t>.</w:t>
      </w:r>
    </w:p>
    <w:p w:rsidR="004E0DC0" w:rsidRPr="003B7DBA" w:rsidRDefault="007637B3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>3</w:t>
      </w:r>
      <w:r w:rsidR="00D237A1" w:rsidRPr="003B7DBA">
        <w:rPr>
          <w:rFonts w:ascii="Times New Roman" w:hAnsi="Times New Roman"/>
          <w:sz w:val="24"/>
          <w:szCs w:val="24"/>
        </w:rPr>
        <w:t xml:space="preserve">.6. </w:t>
      </w:r>
      <w:r w:rsidR="004E0DC0" w:rsidRPr="003B7DBA">
        <w:rPr>
          <w:rFonts w:ascii="Times New Roman" w:hAnsi="Times New Roman"/>
          <w:sz w:val="24"/>
          <w:szCs w:val="24"/>
        </w:rPr>
        <w:t xml:space="preserve">Члены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3B7DBA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3B7DBA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3B7DBA">
        <w:rPr>
          <w:rFonts w:ascii="Times New Roman" w:hAnsi="Times New Roman"/>
          <w:sz w:val="24"/>
          <w:szCs w:val="24"/>
        </w:rPr>
        <w:t>Ассоциации</w:t>
      </w:r>
      <w:r w:rsidR="004E0DC0" w:rsidRPr="003B7DBA">
        <w:rPr>
          <w:rFonts w:ascii="Times New Roman" w:hAnsi="Times New Roman"/>
          <w:sz w:val="24"/>
          <w:szCs w:val="24"/>
        </w:rPr>
        <w:t>.</w:t>
      </w:r>
    </w:p>
    <w:p w:rsidR="00AD51D2" w:rsidRPr="003B7DBA" w:rsidRDefault="007637B3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3B7DBA">
        <w:t>3</w:t>
      </w:r>
      <w:r w:rsidR="00AD51D2" w:rsidRPr="003B7DBA">
        <w:t>.</w:t>
      </w:r>
      <w:r w:rsidR="00D237A1" w:rsidRPr="003B7DBA">
        <w:t>7</w:t>
      </w:r>
      <w:r w:rsidR="00AD51D2" w:rsidRPr="003B7DBA">
        <w:t xml:space="preserve">. При </w:t>
      </w:r>
      <w:r w:rsidR="00D237A1" w:rsidRPr="003B7DBA">
        <w:t>осуществлении предпринимательской деятельности</w:t>
      </w:r>
      <w:r w:rsidR="00AD51D2" w:rsidRPr="003B7DBA">
        <w:t xml:space="preserve"> члены </w:t>
      </w:r>
      <w:r w:rsidR="005707C3" w:rsidRPr="003B7DBA">
        <w:t>Ассоциации</w:t>
      </w:r>
      <w:r w:rsidR="00AD51D2" w:rsidRPr="003B7DBA">
        <w:t xml:space="preserve"> должны руководствоваться правилами деловой этики.</w:t>
      </w:r>
    </w:p>
    <w:p w:rsidR="00AD51D2" w:rsidRPr="003B7DBA" w:rsidRDefault="007637B3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3B7DBA">
        <w:rPr>
          <w:b/>
        </w:rPr>
        <w:lastRenderedPageBreak/>
        <w:t>4</w:t>
      </w:r>
      <w:r w:rsidR="00AD51D2" w:rsidRPr="003B7DBA">
        <w:rPr>
          <w:b/>
        </w:rPr>
        <w:t>. Правила деловой этики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.1. Основной целью этических правил является введение в практику корпоративных норм поведения между членами </w:t>
      </w:r>
      <w:r w:rsidR="005707C3" w:rsidRPr="003B7DBA">
        <w:t>Ассоциации</w:t>
      </w:r>
      <w:r w:rsidR="00AD51D2" w:rsidRPr="003B7DBA">
        <w:t xml:space="preserve">, между членами </w:t>
      </w:r>
      <w:r w:rsidR="005707C3" w:rsidRPr="003B7DBA">
        <w:t>Ассоциации</w:t>
      </w:r>
      <w:r w:rsidR="00AD51D2" w:rsidRPr="003B7DBA">
        <w:t xml:space="preserve"> и их заказчиками, между членами </w:t>
      </w:r>
      <w:r w:rsidR="005707C3" w:rsidRPr="003B7DBA">
        <w:t>Ассоциации</w:t>
      </w:r>
      <w:r w:rsidR="00AD51D2" w:rsidRPr="003B7DBA">
        <w:t xml:space="preserve"> и сам</w:t>
      </w:r>
      <w:r w:rsidR="005707C3" w:rsidRPr="003B7DBA">
        <w:t>ой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>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.2. Члены </w:t>
      </w:r>
      <w:r w:rsidR="005707C3" w:rsidRPr="003B7DBA">
        <w:t>Ассоциации</w:t>
      </w:r>
      <w:r w:rsidR="00AD51D2" w:rsidRPr="003B7DBA">
        <w:t xml:space="preserve"> не должны: 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осуществлять свою деятельность в ущерб иным субъектам предпринимательской деятельности;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устанавливать требования, способствующие созданию недобросовестной конкуренции;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совершать действия, причиняющие ущерб деловой репутации члена </w:t>
      </w:r>
      <w:r w:rsidR="005707C3" w:rsidRPr="003B7DBA">
        <w:t>Ассоциации</w:t>
      </w:r>
      <w:r w:rsidRPr="003B7DBA">
        <w:t xml:space="preserve">, либо деловой репутации </w:t>
      </w:r>
      <w:r w:rsidR="005707C3" w:rsidRPr="003B7DBA">
        <w:t>Ассоциации</w:t>
      </w:r>
      <w:r w:rsidRPr="003B7DBA">
        <w:t>;</w:t>
      </w:r>
    </w:p>
    <w:p w:rsidR="00AD51D2" w:rsidRPr="003B7DBA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допускать недобросовестную конкуренцию путем следующих действий: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3B7DBA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3B7DBA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DBA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3B7DBA" w:rsidRDefault="007637B3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3B7DBA">
        <w:t>4</w:t>
      </w:r>
      <w:r w:rsidR="00AD51D2" w:rsidRPr="003B7DBA">
        <w:t xml:space="preserve">.3. С целью предотвращения или урегулирования конфликта интересов членов </w:t>
      </w:r>
      <w:r w:rsidR="005707C3" w:rsidRPr="003B7DBA">
        <w:t>Ассоциации</w:t>
      </w:r>
      <w:r w:rsidR="00AD51D2" w:rsidRPr="003B7DBA">
        <w:t xml:space="preserve">, их работников, лиц, входящих в состав органов управления </w:t>
      </w:r>
      <w:r w:rsidR="005707C3" w:rsidRPr="003B7DBA">
        <w:t>Ассоциации</w:t>
      </w:r>
      <w:r w:rsidR="00AD51D2" w:rsidRPr="003B7DBA">
        <w:t xml:space="preserve">, его работников, действующих на основании трудового договора или гражданско-правового договора, по решению </w:t>
      </w:r>
      <w:r w:rsidR="009D20A1" w:rsidRPr="003B7DBA">
        <w:t>Совета</w:t>
      </w:r>
      <w:r w:rsidR="00AD51D2" w:rsidRPr="003B7DBA">
        <w:t xml:space="preserve"> </w:t>
      </w:r>
      <w:r w:rsidR="005707C3" w:rsidRPr="003B7DBA">
        <w:t>Ассоциации</w:t>
      </w:r>
      <w:r w:rsidR="00AD51D2" w:rsidRPr="003B7DBA">
        <w:t xml:space="preserve"> может быть создана Комиссия по конфликтным ситуациям.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sz w:val="24"/>
          <w:szCs w:val="24"/>
        </w:rPr>
        <w:t>. К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3B7DBA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sz w:val="24"/>
          <w:szCs w:val="24"/>
        </w:rPr>
        <w:t>, сносу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строителей;</w:t>
      </w:r>
    </w:p>
    <w:p w:rsidR="00D03AB1" w:rsidRPr="003B7DBA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Pr="003B7DBA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FD59CF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 xml:space="preserve"> иных наруше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>ний,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3B7DBA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0971E9" w:rsidRPr="003B7DBA">
        <w:rPr>
          <w:rFonts w:ascii="Times New Roman" w:hAnsi="Times New Roman" w:cs="Times New Roman"/>
          <w:b w:val="0"/>
          <w:sz w:val="24"/>
          <w:szCs w:val="24"/>
        </w:rPr>
        <w:t>, сносу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объектов капитального строительства, утвержденных Национальным объединением 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строителей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внутренних документов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.</w:t>
      </w:r>
      <w:r w:rsidR="00725CAD" w:rsidRPr="003B7DBA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3B7DBA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3B7DB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sz w:val="24"/>
          <w:szCs w:val="24"/>
        </w:rPr>
        <w:t>. О</w:t>
      </w:r>
      <w:r w:rsidR="00C1234E" w:rsidRPr="003B7DBA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3B7DBA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3B7DBA">
        <w:rPr>
          <w:rFonts w:ascii="Times New Roman" w:hAnsi="Times New Roman" w:cs="Times New Roman"/>
          <w:sz w:val="24"/>
          <w:szCs w:val="24"/>
        </w:rPr>
        <w:t>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3B7DBA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6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3B7DBA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52F5C" w:rsidRPr="003B7DBA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3B7DBA" w:rsidRDefault="007637B3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sz w:val="24"/>
          <w:szCs w:val="24"/>
        </w:rPr>
        <w:t>.</w:t>
      </w:r>
      <w:r w:rsidR="007E3907" w:rsidRPr="003B7DBA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3B7DBA" w:rsidRDefault="007637B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9D20A1" w:rsidRPr="003B7DBA">
        <w:rPr>
          <w:rFonts w:ascii="Times New Roman" w:hAnsi="Times New Roman" w:cs="Times New Roman"/>
          <w:b w:val="0"/>
          <w:sz w:val="24"/>
          <w:szCs w:val="24"/>
        </w:rPr>
        <w:t>генера</w:t>
      </w:r>
      <w:r w:rsidR="004C1F22" w:rsidRPr="003B7DBA">
        <w:rPr>
          <w:rFonts w:ascii="Times New Roman" w:hAnsi="Times New Roman" w:cs="Times New Roman"/>
          <w:b w:val="0"/>
          <w:sz w:val="24"/>
          <w:szCs w:val="24"/>
        </w:rPr>
        <w:t>льному</w:t>
      </w:r>
      <w:r w:rsidR="005D51AA" w:rsidRPr="003B7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3907" w:rsidRPr="003B7DBA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3B7DBA" w:rsidRDefault="007637B3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7DBA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3B7DBA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3B7DBA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3B7DBA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3B7DBA" w:rsidRDefault="007637B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DBA">
        <w:rPr>
          <w:rFonts w:ascii="Times New Roman" w:hAnsi="Times New Roman" w:cs="Times New Roman"/>
          <w:sz w:val="24"/>
          <w:szCs w:val="24"/>
        </w:rPr>
        <w:t>8</w:t>
      </w:r>
      <w:r w:rsidR="005707C3" w:rsidRPr="003B7DBA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 w:rsidR="005707C3" w:rsidRPr="003B7DBA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8.1.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Н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астоящий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C04276" w:rsidRPr="003B7DBA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3B7DBA">
        <w:rPr>
          <w:rFonts w:ascii="Times New Roman" w:eastAsia="Times New Roman" w:hAnsi="Times New Roman"/>
          <w:sz w:val="24"/>
          <w:szCs w:val="24"/>
        </w:rPr>
        <w:t xml:space="preserve">рт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="005707C3" w:rsidRPr="003B7DBA">
        <w:rPr>
          <w:rFonts w:ascii="Times New Roman" w:eastAsia="Times New Roman" w:hAnsi="Times New Roman"/>
          <w:sz w:val="24"/>
          <w:szCs w:val="24"/>
        </w:rPr>
        <w:t>упает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8.2.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3B7DBA" w:rsidRDefault="007637B3" w:rsidP="007637B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t xml:space="preserve">8.3. 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="005707C3" w:rsidRPr="003B7DBA">
        <w:rPr>
          <w:rFonts w:ascii="Times New Roman" w:hAnsi="Times New Roman"/>
          <w:sz w:val="24"/>
          <w:szCs w:val="24"/>
        </w:rPr>
        <w:t>я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="005707C3" w:rsidRPr="003B7DBA">
        <w:rPr>
          <w:rFonts w:ascii="Times New Roman" w:eastAsia="Times New Roman" w:hAnsi="Times New Roman"/>
          <w:sz w:val="24"/>
          <w:szCs w:val="24"/>
        </w:rPr>
        <w:t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5707C3" w:rsidRPr="003B7DBA" w:rsidRDefault="005707C3" w:rsidP="007637B3">
      <w:pPr>
        <w:pStyle w:val="a4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DBA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3B7DBA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3B7DBA">
        <w:rPr>
          <w:rFonts w:ascii="Times New Roman" w:hAnsi="Times New Roman"/>
          <w:sz w:val="24"/>
          <w:szCs w:val="24"/>
        </w:rPr>
        <w:t xml:space="preserve"> если</w:t>
      </w:r>
      <w:r w:rsidRPr="003B7DBA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С</w:t>
      </w:r>
      <w:r w:rsidRPr="003B7DBA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3B7DBA">
        <w:rPr>
          <w:rFonts w:ascii="Times New Roman" w:eastAsia="Times New Roman" w:hAnsi="Times New Roman"/>
          <w:sz w:val="24"/>
          <w:szCs w:val="24"/>
        </w:rPr>
        <w:t>ом</w:t>
      </w:r>
      <w:r w:rsidRPr="003B7DBA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B5063C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B5063C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B5063C" w:rsidSect="005F40BE">
      <w:pgSz w:w="11906" w:h="16838"/>
      <w:pgMar w:top="1135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C8" w:rsidRDefault="00A611C8" w:rsidP="005A59C2">
      <w:pPr>
        <w:spacing w:after="0" w:line="240" w:lineRule="auto"/>
      </w:pPr>
      <w:r>
        <w:separator/>
      </w:r>
    </w:p>
  </w:endnote>
  <w:endnote w:type="continuationSeparator" w:id="0">
    <w:p w:rsidR="00A611C8" w:rsidRDefault="00A611C8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C8" w:rsidRDefault="00A611C8" w:rsidP="005A59C2">
      <w:pPr>
        <w:spacing w:after="0" w:line="240" w:lineRule="auto"/>
      </w:pPr>
      <w:r>
        <w:separator/>
      </w:r>
    </w:p>
  </w:footnote>
  <w:footnote w:type="continuationSeparator" w:id="0">
    <w:p w:rsidR="00A611C8" w:rsidRDefault="00A611C8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F36698E"/>
    <w:multiLevelType w:val="multilevel"/>
    <w:tmpl w:val="75408B9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9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1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20"/>
  </w:num>
  <w:num w:numId="19">
    <w:abstractNumId w:val="15"/>
  </w:num>
  <w:num w:numId="20">
    <w:abstractNumId w:val="17"/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563E"/>
    <w:rsid w:val="00016E65"/>
    <w:rsid w:val="00021B4D"/>
    <w:rsid w:val="00026256"/>
    <w:rsid w:val="00026732"/>
    <w:rsid w:val="00033499"/>
    <w:rsid w:val="000406EE"/>
    <w:rsid w:val="0005092D"/>
    <w:rsid w:val="0005274E"/>
    <w:rsid w:val="00052986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05B"/>
    <w:rsid w:val="0009427C"/>
    <w:rsid w:val="00094632"/>
    <w:rsid w:val="000971E9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663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184E"/>
    <w:rsid w:val="001F4FBE"/>
    <w:rsid w:val="001F4FC8"/>
    <w:rsid w:val="001F5BAF"/>
    <w:rsid w:val="0020071B"/>
    <w:rsid w:val="00205041"/>
    <w:rsid w:val="00205C4D"/>
    <w:rsid w:val="00205E3C"/>
    <w:rsid w:val="00207884"/>
    <w:rsid w:val="00210794"/>
    <w:rsid w:val="00213AE6"/>
    <w:rsid w:val="00223621"/>
    <w:rsid w:val="00241446"/>
    <w:rsid w:val="002479B0"/>
    <w:rsid w:val="002535EB"/>
    <w:rsid w:val="00253754"/>
    <w:rsid w:val="00264B14"/>
    <w:rsid w:val="00274414"/>
    <w:rsid w:val="002756F7"/>
    <w:rsid w:val="00277220"/>
    <w:rsid w:val="00282244"/>
    <w:rsid w:val="00282A83"/>
    <w:rsid w:val="002870C3"/>
    <w:rsid w:val="002903AD"/>
    <w:rsid w:val="002908BD"/>
    <w:rsid w:val="00292EDC"/>
    <w:rsid w:val="002A341B"/>
    <w:rsid w:val="002A76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77374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B7DBA"/>
    <w:rsid w:val="003C10DD"/>
    <w:rsid w:val="003C3ECC"/>
    <w:rsid w:val="003C58C3"/>
    <w:rsid w:val="003D3763"/>
    <w:rsid w:val="003D4B42"/>
    <w:rsid w:val="003E2F60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53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013F"/>
    <w:rsid w:val="00481AB2"/>
    <w:rsid w:val="00482CBF"/>
    <w:rsid w:val="00484CFC"/>
    <w:rsid w:val="0049103B"/>
    <w:rsid w:val="00493676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1F22"/>
    <w:rsid w:val="004C2A3B"/>
    <w:rsid w:val="004C3FE1"/>
    <w:rsid w:val="004C7E57"/>
    <w:rsid w:val="004C7EE9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15E1A"/>
    <w:rsid w:val="00520A83"/>
    <w:rsid w:val="00526126"/>
    <w:rsid w:val="00530B90"/>
    <w:rsid w:val="005416AE"/>
    <w:rsid w:val="00546AB9"/>
    <w:rsid w:val="00564934"/>
    <w:rsid w:val="00564D0A"/>
    <w:rsid w:val="00565411"/>
    <w:rsid w:val="00567317"/>
    <w:rsid w:val="005707C3"/>
    <w:rsid w:val="00573B8F"/>
    <w:rsid w:val="00573F38"/>
    <w:rsid w:val="005741DD"/>
    <w:rsid w:val="0057434E"/>
    <w:rsid w:val="00575EB4"/>
    <w:rsid w:val="00577352"/>
    <w:rsid w:val="005804AA"/>
    <w:rsid w:val="005837AE"/>
    <w:rsid w:val="00587045"/>
    <w:rsid w:val="0058704E"/>
    <w:rsid w:val="0059022B"/>
    <w:rsid w:val="00596725"/>
    <w:rsid w:val="00596749"/>
    <w:rsid w:val="00597A0D"/>
    <w:rsid w:val="00597FDD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51AA"/>
    <w:rsid w:val="005D7C3C"/>
    <w:rsid w:val="005E0148"/>
    <w:rsid w:val="005E3593"/>
    <w:rsid w:val="005E4546"/>
    <w:rsid w:val="005F1779"/>
    <w:rsid w:val="005F2D9B"/>
    <w:rsid w:val="005F40BE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8E3"/>
    <w:rsid w:val="006B426D"/>
    <w:rsid w:val="006C5B67"/>
    <w:rsid w:val="006D3C5C"/>
    <w:rsid w:val="006D6140"/>
    <w:rsid w:val="006D65D9"/>
    <w:rsid w:val="006E1D62"/>
    <w:rsid w:val="006F16B3"/>
    <w:rsid w:val="007011EA"/>
    <w:rsid w:val="00701DB3"/>
    <w:rsid w:val="0070756A"/>
    <w:rsid w:val="0071422E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453FF"/>
    <w:rsid w:val="0076220B"/>
    <w:rsid w:val="007637B3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2736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54ED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2285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4D23"/>
    <w:rsid w:val="009A5670"/>
    <w:rsid w:val="009B11C6"/>
    <w:rsid w:val="009C13FB"/>
    <w:rsid w:val="009D1455"/>
    <w:rsid w:val="009D1D73"/>
    <w:rsid w:val="009D20A1"/>
    <w:rsid w:val="009D75A6"/>
    <w:rsid w:val="009D7FCC"/>
    <w:rsid w:val="009E300F"/>
    <w:rsid w:val="009E468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11C8"/>
    <w:rsid w:val="00A62BED"/>
    <w:rsid w:val="00A6620E"/>
    <w:rsid w:val="00A66D7B"/>
    <w:rsid w:val="00A81407"/>
    <w:rsid w:val="00A911F7"/>
    <w:rsid w:val="00A9192E"/>
    <w:rsid w:val="00A946DF"/>
    <w:rsid w:val="00A95EEC"/>
    <w:rsid w:val="00AA06EF"/>
    <w:rsid w:val="00AA12F6"/>
    <w:rsid w:val="00AA57FA"/>
    <w:rsid w:val="00AB04D1"/>
    <w:rsid w:val="00AB3150"/>
    <w:rsid w:val="00AB35E5"/>
    <w:rsid w:val="00AB4B37"/>
    <w:rsid w:val="00AC4963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105A1"/>
    <w:rsid w:val="00B124CE"/>
    <w:rsid w:val="00B15855"/>
    <w:rsid w:val="00B22D3D"/>
    <w:rsid w:val="00B22E35"/>
    <w:rsid w:val="00B25270"/>
    <w:rsid w:val="00B25734"/>
    <w:rsid w:val="00B30D0A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063C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1B9D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D79A8"/>
    <w:rsid w:val="00BE3F7D"/>
    <w:rsid w:val="00BE509F"/>
    <w:rsid w:val="00BF16F4"/>
    <w:rsid w:val="00BF2B22"/>
    <w:rsid w:val="00BF63B0"/>
    <w:rsid w:val="00C01764"/>
    <w:rsid w:val="00C020E9"/>
    <w:rsid w:val="00C04276"/>
    <w:rsid w:val="00C04FCB"/>
    <w:rsid w:val="00C1234E"/>
    <w:rsid w:val="00C21C69"/>
    <w:rsid w:val="00C23BA7"/>
    <w:rsid w:val="00C3122E"/>
    <w:rsid w:val="00C31C7E"/>
    <w:rsid w:val="00C32B66"/>
    <w:rsid w:val="00C34809"/>
    <w:rsid w:val="00C42177"/>
    <w:rsid w:val="00C45E19"/>
    <w:rsid w:val="00C53146"/>
    <w:rsid w:val="00C533AB"/>
    <w:rsid w:val="00C62CCA"/>
    <w:rsid w:val="00C6466C"/>
    <w:rsid w:val="00C64D94"/>
    <w:rsid w:val="00C70C51"/>
    <w:rsid w:val="00C71867"/>
    <w:rsid w:val="00C72B6D"/>
    <w:rsid w:val="00C73255"/>
    <w:rsid w:val="00C77D06"/>
    <w:rsid w:val="00C82B56"/>
    <w:rsid w:val="00C916F0"/>
    <w:rsid w:val="00C93555"/>
    <w:rsid w:val="00C936C6"/>
    <w:rsid w:val="00C937EC"/>
    <w:rsid w:val="00C93B1A"/>
    <w:rsid w:val="00C9564C"/>
    <w:rsid w:val="00CA1150"/>
    <w:rsid w:val="00CA3925"/>
    <w:rsid w:val="00CA7148"/>
    <w:rsid w:val="00CB140B"/>
    <w:rsid w:val="00CB41E5"/>
    <w:rsid w:val="00CB6C24"/>
    <w:rsid w:val="00CB754B"/>
    <w:rsid w:val="00CB7C47"/>
    <w:rsid w:val="00CB7FF7"/>
    <w:rsid w:val="00CC0B8B"/>
    <w:rsid w:val="00CD392C"/>
    <w:rsid w:val="00CD4801"/>
    <w:rsid w:val="00CE08E7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85A6A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C475A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3E7F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114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1111"/>
    <w:rsid w:val="00F23C29"/>
    <w:rsid w:val="00F3222A"/>
    <w:rsid w:val="00F35CA7"/>
    <w:rsid w:val="00F41474"/>
    <w:rsid w:val="00F4568F"/>
    <w:rsid w:val="00F529EB"/>
    <w:rsid w:val="00F52AE5"/>
    <w:rsid w:val="00F52F5C"/>
    <w:rsid w:val="00F548C2"/>
    <w:rsid w:val="00F676E9"/>
    <w:rsid w:val="00F746FB"/>
    <w:rsid w:val="00F74C21"/>
    <w:rsid w:val="00F7525E"/>
    <w:rsid w:val="00F75A5B"/>
    <w:rsid w:val="00F766E2"/>
    <w:rsid w:val="00F77CCB"/>
    <w:rsid w:val="00F81699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AE60-B997-4271-8FF4-2F45AB9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14228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2018-10-01T13:03:00Z</cp:lastPrinted>
  <dcterms:created xsi:type="dcterms:W3CDTF">2018-10-04T11:21:00Z</dcterms:created>
  <dcterms:modified xsi:type="dcterms:W3CDTF">2018-10-04T11:21:00Z</dcterms:modified>
</cp:coreProperties>
</file>